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bookmarkStart w:colFirst="0" w:colLast="0" w:name="_heading=h.gjdgxs" w:id="0"/>
      <w:bookmarkEnd w:id="0"/>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401.11: Employee Orientation</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Employees must know their role and duties.  New employees may be required to participate in an orientation program for new employees.  The employee's immediate supervisor should provide the new employee with a review of the employee's responsibilities and duties.  Payroll procedures and employee benefit programs and accompanying forms will be explained to the employee</w:t>
      </w:r>
      <w:r w:rsidDel="00000000" w:rsidR="00000000" w:rsidRPr="00000000">
        <w:rPr>
          <w:rFonts w:ascii="Lato" w:cs="Lato" w:eastAsia="Lato" w:hAnsi="Lato"/>
          <w:rtl w:val="0"/>
        </w:rPr>
        <w:t xml:space="preserve"> .  Regular employees ineligible for the school district's group health plan will be given information regarding where they can obtain health care or health care insurance.</w:t>
        <w:br w:type="textWrapping"/>
      </w:r>
      <w:r w:rsidDel="00000000" w:rsidR="00000000" w:rsidRPr="00000000">
        <w:rPr>
          <w:rFonts w:ascii="Lato" w:cs="Lato" w:eastAsia="Lato" w:hAnsi="Lato"/>
          <w:rtl w:val="0"/>
        </w:rPr>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20; 279.8.</w:t>
              <w:br w:type="textWrapping"/>
              <w:t xml:space="preserve">191 I.A.C. 74.</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20</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Collective Bargaining</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w:cs="Lato" w:eastAsia="Lato" w:hAnsi="Lato"/>
                <w:rtl w:val="0"/>
              </w:rPr>
              <w:t xml:space="preserve">191 I.A.C. 74</w:t>
            </w:r>
            <w:r w:rsidDel="00000000" w:rsidR="00000000" w:rsidRPr="00000000">
              <w:rPr>
                <w:rtl w:val="0"/>
              </w:rPr>
            </w:r>
          </w:p>
        </w:tc>
        <w:tc>
          <w:tcPr>
            <w:tcMar>
              <w:top w:w="0.0" w:type="dxa"/>
              <w:bottom w:w="0.0" w:type="dxa"/>
            </w:tcMar>
          </w:tcPr>
          <w:p w:rsidR="00000000" w:rsidDel="00000000" w:rsidP="00000000" w:rsidRDefault="00000000" w:rsidRPr="00000000" w14:paraId="00000015">
            <w:pPr>
              <w:rPr/>
            </w:pPr>
            <w:hyperlink r:id="rId9">
              <w:r w:rsidDel="00000000" w:rsidR="00000000" w:rsidRPr="00000000">
                <w:rPr>
                  <w:rFonts w:ascii="Lato" w:cs="Lato" w:eastAsia="Lato" w:hAnsi="Lato"/>
                  <w:color w:val="0563c1"/>
                  <w:u w:val="single"/>
                  <w:rtl w:val="0"/>
                </w:rPr>
                <w:t xml:space="preserve">Insurance Division - Health Care Access</w:t>
              </w:r>
            </w:hyperlink>
            <w:r w:rsidDel="00000000" w:rsidR="00000000" w:rsidRPr="00000000">
              <w:rPr>
                <w:rtl w:val="0"/>
              </w:rPr>
            </w:r>
          </w:p>
        </w:tc>
      </w:tr>
    </w:tbl>
    <w:p w:rsidR="00000000" w:rsidDel="00000000" w:rsidP="00000000" w:rsidRDefault="00000000" w:rsidRPr="00000000" w14:paraId="00000016">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401.13</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10">
              <w:r w:rsidDel="00000000" w:rsidR="00000000" w:rsidRPr="00000000">
                <w:rPr>
                  <w:rFonts w:ascii="Lato" w:cs="Lato" w:eastAsia="Lato" w:hAnsi="Lato"/>
                  <w:color w:val="0563c1"/>
                  <w:u w:val="single"/>
                  <w:rtl w:val="0"/>
                </w:rPr>
                <w:t xml:space="preserve">Staff Technology Use/Social Networking</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401.13-R(1)</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11">
              <w:r w:rsidDel="00000000" w:rsidR="00000000" w:rsidRPr="00000000">
                <w:rPr>
                  <w:rFonts w:ascii="Lato" w:cs="Lato" w:eastAsia="Lato" w:hAnsi="Lato"/>
                  <w:color w:val="0563c1"/>
                  <w:u w:val="single"/>
                  <w:rtl w:val="0"/>
                </w:rPr>
                <w:t xml:space="preserve">Staff Technology Use/Social Networking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w:cs="Lato" w:eastAsia="Lato" w:hAnsi="Lato"/>
                <w:rtl w:val="0"/>
              </w:rPr>
              <w:t xml:space="preserve">404</w:t>
            </w:r>
            <w:r w:rsidDel="00000000" w:rsidR="00000000" w:rsidRPr="00000000">
              <w:rPr>
                <w:rtl w:val="0"/>
              </w:rPr>
            </w:r>
          </w:p>
        </w:tc>
        <w:tc>
          <w:tcPr>
            <w:tcMar>
              <w:top w:w="0.0" w:type="dxa"/>
              <w:bottom w:w="0.0" w:type="dxa"/>
            </w:tcMar>
          </w:tcPr>
          <w:p w:rsidR="00000000" w:rsidDel="00000000" w:rsidP="00000000" w:rsidRDefault="00000000" w:rsidRPr="00000000" w14:paraId="0000001E">
            <w:pPr>
              <w:rPr/>
            </w:pPr>
            <w:hyperlink r:id="rId12">
              <w:r w:rsidDel="00000000" w:rsidR="00000000" w:rsidRPr="00000000">
                <w:rPr>
                  <w:rFonts w:ascii="Lato" w:cs="Lato" w:eastAsia="Lato" w:hAnsi="Lato"/>
                  <w:color w:val="0563c1"/>
                  <w:u w:val="single"/>
                  <w:rtl w:val="0"/>
                </w:rPr>
                <w:t xml:space="preserve">Employee Conduct and Appearance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404-R(1)</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13">
              <w:r w:rsidDel="00000000" w:rsidR="00000000" w:rsidRPr="00000000">
                <w:rPr>
                  <w:rFonts w:ascii="Lato" w:cs="Lato" w:eastAsia="Lato" w:hAnsi="Lato"/>
                  <w:color w:val="0563c1"/>
                  <w:u w:val="single"/>
                  <w:rtl w:val="0"/>
                </w:rPr>
                <w:t xml:space="preserve">Employee Conduct and Appearance - Code of Professional Conduct and Ethics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1">
            <w:pPr>
              <w:spacing w:after="0" w:lineRule="auto"/>
              <w:rPr/>
            </w:pPr>
            <w:r w:rsidDel="00000000" w:rsidR="00000000" w:rsidRPr="00000000">
              <w:rPr>
                <w:rFonts w:ascii="Lato" w:cs="Lato" w:eastAsia="Lato" w:hAnsi="Lato"/>
                <w:rtl w:val="0"/>
              </w:rPr>
              <w:t xml:space="preserve">404-R(2)</w:t>
            </w:r>
            <w:r w:rsidDel="00000000" w:rsidR="00000000" w:rsidRPr="00000000">
              <w:rPr>
                <w:rtl w:val="0"/>
              </w:rPr>
            </w:r>
          </w:p>
        </w:tc>
        <w:tc>
          <w:tcPr>
            <w:tcMar>
              <w:top w:w="0.0" w:type="dxa"/>
              <w:bottom w:w="0.0" w:type="dxa"/>
            </w:tcMar>
          </w:tcPr>
          <w:p w:rsidR="00000000" w:rsidDel="00000000" w:rsidP="00000000" w:rsidRDefault="00000000" w:rsidRPr="00000000" w14:paraId="00000022">
            <w:pPr>
              <w:rPr/>
            </w:pPr>
            <w:hyperlink r:id="rId14">
              <w:r w:rsidDel="00000000" w:rsidR="00000000" w:rsidRPr="00000000">
                <w:rPr>
                  <w:rFonts w:ascii="Lato" w:cs="Lato" w:eastAsia="Lato" w:hAnsi="Lato"/>
                  <w:color w:val="0563c1"/>
                  <w:u w:val="single"/>
                  <w:rtl w:val="0"/>
                </w:rPr>
                <w:t xml:space="preserve">Employee Conduct and Appearance - Code of Rights and Responsibilities Regulation</w:t>
              </w:r>
            </w:hyperlink>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imbli.eboardsolutions.com/Policy/ViewPolicy.aspx?S=36031104&amp;revid=czSruVIslsh8c5pWUDEmHxa9g==" TargetMode="External"/><Relationship Id="rId10" Type="http://schemas.openxmlformats.org/officeDocument/2006/relationships/hyperlink" Target="https://simbli.eboardsolutions.com/Policy/ViewPolicy.aspx?S=36031104&amp;revid=E8Su071DpAZ3RuZKo2aZew==" TargetMode="External"/><Relationship Id="rId13" Type="http://schemas.openxmlformats.org/officeDocument/2006/relationships/hyperlink" Target="https://simbli.eboardsolutions.com/Policy/ViewPolicy.aspx?S=36031104&amp;revid=3bYidVdrEaCplusZzQhhXplus2sg==" TargetMode="External"/><Relationship Id="rId12" Type="http://schemas.openxmlformats.org/officeDocument/2006/relationships/hyperlink" Target="https://simbli.eboardsolutions.com/Policy/ViewPolicy.aspx?S=36031104&amp;revid=tHSbWzMDkTpvVHlIUAl5K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iac/chapter/191.74.pdf" TargetMode="External"/><Relationship Id="rId14" Type="http://schemas.openxmlformats.org/officeDocument/2006/relationships/hyperlink" Target="https://simbli.eboardsolutions.com/Policy/ViewPolicy.aspx?S=36031104&amp;revid=sswtR2ITm2oZ2jw2WQJiQ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0.pdf" TargetMode="External"/><Relationship Id="rId8" Type="http://schemas.openxmlformats.org/officeDocument/2006/relationships/hyperlink" Target="https://www.legis.iowa.gov/docs/code/279.8.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07Y+ZYIzexPLNEfDioF0o0MzTg==">CgMxLjAyCGguZ2pkZ3hzOAByITF3Q1pHd3ZtYzV1Rm1qRXJYZ1E2U3k2ME9Oa21XcF9zSg==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2023-12-13T17:00:00Z</dcterms:created>
  <dc:creator>Linda Heisdorffer</dc:creator>
</cp:coreProperties>
</file>